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bCs/>
          <w:sz w:val="30"/>
          <w:szCs w:val="30"/>
        </w:rPr>
      </w:pPr>
      <w:bookmarkStart w:id="0" w:name="_GoBack"/>
      <w:r>
        <w:rPr>
          <w:rFonts w:hint="eastAsia" w:ascii="仿宋" w:hAnsi="仿宋" w:eastAsia="仿宋" w:cs="仿宋"/>
          <w:b/>
          <w:bCs/>
          <w:sz w:val="30"/>
          <w:szCs w:val="30"/>
        </w:rPr>
        <w:t>习近平总书记7.26讲话</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新华社北京7月27日电  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中共中央政治局常委李克强、张德江、俞正声、刘云山、王岐山、张高丽出席。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各省区市和新疆生产建设兵团、中央和国家机关有关部门主要负责同志，军队各大单位、军委机关各部门主要负责同志参加研讨班。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A26E"/>
    <w:multiLevelType w:val="singleLevel"/>
    <w:tmpl w:val="597AA26E"/>
    <w:lvl w:ilvl="0" w:tentative="0">
      <w:start w:val="1"/>
      <w:numFmt w:val="chineseCounting"/>
      <w:pStyle w:val="5"/>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17F57"/>
    <w:rsid w:val="31875A75"/>
    <w:rsid w:val="72F17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2"/>
    <w:basedOn w:val="2"/>
    <w:next w:val="1"/>
    <w:qFormat/>
    <w:uiPriority w:val="0"/>
    <w:pPr>
      <w:numPr>
        <w:ilvl w:val="0"/>
        <w:numId w:val="1"/>
      </w:numPr>
      <w:spacing w:before="100" w:beforeAutospacing="1"/>
    </w:pPr>
    <w:rPr>
      <w:rFonts w:ascii="Arial" w:hAnsi="Arial" w:eastAsia="仿宋"/>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2017-11-23T01:57:00Z</dcterms:created>
  <dc:creator>图书馆的兔子</dc:creator>
  <cp:lastModifiedBy>图书馆的兔子</cp:lastModifiedBy>
  <dcterms:modified xsi:type="dcterms:W3CDTF">2017-11-23T01:59:49Z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